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20" w:rsidRDefault="00E6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UNIVERSITI TUN HUSSEIN ONN MALAYSIA</w:t>
      </w:r>
    </w:p>
    <w:p w:rsidR="005E5F20" w:rsidRDefault="00E6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STATUS PENGESAHAN TESIS AKADEMIK BAGI</w:t>
      </w:r>
    </w:p>
    <w:p w:rsidR="005E5F20" w:rsidRDefault="00E6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IJAZAH</w:t>
      </w:r>
      <w:r>
        <w:rPr>
          <w:rFonts w:ascii="Times New Roman" w:eastAsia="Times New Roman" w:hAnsi="Times New Roman" w:cs="Times New Roman"/>
          <w:b/>
          <w:color w:val="FF0000"/>
        </w:rPr>
        <w:t xml:space="preserve"> SARJANA / DOKTOR FALSAFAH</w:t>
      </w:r>
    </w:p>
    <w:p w:rsidR="005E5F20" w:rsidRDefault="005E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5F20" w:rsidRDefault="00E66AF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TAJUK PENYELIDIKAN</w:t>
      </w:r>
      <w:r>
        <w:rPr>
          <w:rFonts w:ascii="Times New Roman" w:eastAsia="Times New Roman" w:hAnsi="Times New Roman" w:cs="Times New Roman"/>
          <w:b/>
          <w:color w:val="FF0000"/>
        </w:rPr>
        <w:t>(TNR, 12, RUANG 1.5)</w:t>
      </w:r>
    </w:p>
    <w:p w:rsidR="005E5F20" w:rsidRDefault="005E5F2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E5F20" w:rsidRDefault="00E66AF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SESI AKADEMIK: 2022/2023</w:t>
      </w:r>
    </w:p>
    <w:p w:rsidR="005E5F20" w:rsidRDefault="00E66AFD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(SESI AKADEMIK SEMASA PENYERAHAN TESIS)</w:t>
      </w:r>
    </w:p>
    <w:p w:rsidR="005E5F20" w:rsidRDefault="005E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5F20" w:rsidRDefault="00D5792B">
      <w:pPr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</w:t>
      </w:r>
      <w:r w:rsidR="00E66AFD">
        <w:rPr>
          <w:rFonts w:ascii="Times New Roman" w:eastAsia="Times New Roman" w:hAnsi="Times New Roman" w:cs="Times New Roman"/>
          <w:color w:val="000000"/>
          <w:sz w:val="14"/>
          <w:szCs w:val="14"/>
        </w:rPr>
        <w:t>aya,</w:t>
      </w:r>
      <w:r w:rsidR="00E66AFD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 xml:space="preserve">(HURUF BESAR TNR, 7 ; PADAMKAN RUANG) </w:t>
      </w:r>
      <w:r w:rsidR="00E66AF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dengan ini mengakui dan bersetuju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untuk </w:t>
      </w:r>
      <w:r w:rsidR="00E66AFD">
        <w:rPr>
          <w:rFonts w:ascii="Times New Roman" w:eastAsia="Times New Roman" w:hAnsi="Times New Roman" w:cs="Times New Roman"/>
          <w:color w:val="000000"/>
          <w:sz w:val="14"/>
          <w:szCs w:val="14"/>
        </w:rPr>
        <w:t>membenarkan Tesis ini disimpan oleh Perpustakaan Universiti Tun Hussein Onn Malaysia mengikut syarat-syarat berikut:</w:t>
      </w:r>
    </w:p>
    <w:tbl>
      <w:tblPr>
        <w:tblStyle w:val="a"/>
        <w:tblW w:w="90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30"/>
        <w:gridCol w:w="4297"/>
        <w:gridCol w:w="4298"/>
      </w:tblGrid>
      <w:tr w:rsidR="005E5F20">
        <w:tc>
          <w:tcPr>
            <w:tcW w:w="396" w:type="dxa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8625" w:type="dxa"/>
            <w:gridSpan w:val="3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Tesis ini </w:t>
            </w:r>
            <w:r w:rsidR="00D579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merupakan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harta akademik pelajar yang disebutkan di atas. Walau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bagaimanapun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Universiti Tun Hussein Onn Malaysia akan secara automatik mengekalkan lesen bukan eksklusif, tidak boleh dipindah milik, tidak boleh ditarik balik, yuran royalti,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lesen antarabangsa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ke atas harta intelek untuk tujuan penyelidikan dan pendidikan.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>
        <w:tc>
          <w:tcPr>
            <w:tcW w:w="396" w:type="dxa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8625" w:type="dxa"/>
            <w:gridSpan w:val="3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Perpustakaan berhak untuk menghasilkan semula Tesis ini terhad kepada tujuan pendidikan.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>
        <w:trPr>
          <w:trHeight w:val="63"/>
        </w:trPr>
        <w:tc>
          <w:tcPr>
            <w:tcW w:w="396" w:type="dxa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8625" w:type="dxa"/>
            <w:gridSpan w:val="3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Perpustakaan berhak untuk mengeluarkan semula Tesis untuk pertukaran pendidikan antara institusi pengajian tinggi.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>
        <w:tc>
          <w:tcPr>
            <w:tcW w:w="396" w:type="dxa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8625" w:type="dxa"/>
            <w:gridSpan w:val="3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Perpustakaan berhak untuk membuat salinan digital Tesis ini</w:t>
            </w:r>
            <w:r w:rsidR="00D579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boleh diakses secara umum melalui internet dalam format yang boleh dimuat turun dengan syarat Tesis tidak tertakluk kepada embargo. Sekiranya embargo dilaksanakan, </w:t>
            </w:r>
            <w:r w:rsidR="00D579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ketersediaan salinan digital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seperti yang dinyatakan di atas</w:t>
            </w:r>
            <w:r w:rsidR="00D579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hanya akan dilaksanakan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sebaik sahaja </w:t>
            </w:r>
            <w:r w:rsidR="00D579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tempoh embargo tamat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>
        <w:tc>
          <w:tcPr>
            <w:tcW w:w="396" w:type="dxa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</w:t>
            </w:r>
          </w:p>
        </w:tc>
        <w:tc>
          <w:tcPr>
            <w:tcW w:w="8625" w:type="dxa"/>
            <w:gridSpan w:val="3"/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Gungsuh" w:eastAsia="Gungsuh" w:hAnsi="Gungsuh" w:cs="Gungsuh"/>
                <w:color w:val="000000"/>
                <w:sz w:val="14"/>
                <w:szCs w:val="14"/>
              </w:rPr>
              <w:t xml:space="preserve">**Sila tanda (√) pada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SATU (1)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daripada pilihan di bawah:</w:t>
            </w:r>
          </w:p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321945" cy="27749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9315" y="3655540"/>
                                <a:ext cx="29337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E5F20" w:rsidRDefault="005E5F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321945" cy="27749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945" cy="277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a0"/>
              <w:tblW w:w="8402" w:type="dxa"/>
              <w:tblInd w:w="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9"/>
              <w:gridCol w:w="2006"/>
              <w:gridCol w:w="5747"/>
            </w:tblGrid>
            <w:tr w:rsidR="005E5F20">
              <w:tc>
                <w:tcPr>
                  <w:tcW w:w="649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431800</wp:posOffset>
                            </wp:positionV>
                            <wp:extent cx="321945" cy="27749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199315" y="3655540"/>
                                      <a:ext cx="29337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5F20" w:rsidRDefault="005E5F2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431800</wp:posOffset>
                            </wp:positionV>
                            <wp:extent cx="321945" cy="277495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" cy="27749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006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SULIT</w:t>
                  </w:r>
                </w:p>
              </w:tc>
              <w:tc>
                <w:tcPr>
                  <w:tcW w:w="5747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Tesis ini mengandungi maklumat keselamatan yang tinggi atau sangat penting kepada Malaysia seperti yang ditetapkan di bawah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AKTA RAHSIA RASMI 1972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  <w:t>Perpustakaan hanya akan menerbitkan tajuk dan abstrak Tesis.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E5F20">
              <w:tc>
                <w:tcPr>
                  <w:tcW w:w="649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50801</wp:posOffset>
                            </wp:positionH>
                            <wp:positionV relativeFrom="paragraph">
                              <wp:posOffset>1651000</wp:posOffset>
                            </wp:positionV>
                            <wp:extent cx="321945" cy="277495"/>
                            <wp:effectExtent l="0" t="0" r="0" b="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199315" y="3655540"/>
                                      <a:ext cx="293370" cy="248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E5F20" w:rsidRDefault="005E5F2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50801</wp:posOffset>
                            </wp:positionH>
                            <wp:positionV relativeFrom="paragraph">
                              <wp:posOffset>1651000</wp:posOffset>
                            </wp:positionV>
                            <wp:extent cx="321945" cy="277495"/>
                            <wp:effectExtent b="0" l="0" r="0" t="0"/>
                            <wp:wrapNone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" cy="27749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006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TERHAD</w:t>
                  </w:r>
                </w:p>
              </w:tc>
              <w:tc>
                <w:tcPr>
                  <w:tcW w:w="5747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14"/>
                      <w:szCs w:val="14"/>
                    </w:rPr>
                    <w:t xml:space="preserve">Sila tandakan (√) pada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SATU (1)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daripada pilihan di bawah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Style w:val="a1"/>
                    <w:tblW w:w="5516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13"/>
                    <w:gridCol w:w="5103"/>
                  </w:tblGrid>
                  <w:tr w:rsidR="005E5F20">
                    <w:tc>
                      <w:tcPr>
                        <w:tcW w:w="4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left w:val="single" w:sz="12" w:space="0" w:color="000000"/>
                        </w:tcBorders>
                      </w:tcPr>
                      <w:p w:rsidR="005E5F20" w:rsidRDefault="00E66AFD" w:rsidP="00D5792B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Tesis ini mengandungi bahan-bahan yang sensitif secara komersial yang akan </w:t>
                        </w:r>
                        <w:r w:rsidR="00D5792B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membatalkan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perjanjian kontrak terdahulu dengan mana-mana organisasi/institusi.</w:t>
                        </w:r>
                      </w:p>
                    </w:tc>
                  </w:tr>
                  <w:tr w:rsidR="005E5F20">
                    <w:tc>
                      <w:tcPr>
                        <w:tcW w:w="41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E5F20">
                    <w:tc>
                      <w:tcPr>
                        <w:tcW w:w="4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left w:val="single" w:sz="12" w:space="0" w:color="000000"/>
                        </w:tcBorders>
                      </w:tcPr>
                      <w:p w:rsidR="005E5F20" w:rsidRDefault="00E66AF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Akses teks penuh kepada Tesis ini akan membahayakan perlindungan hak harta intelek masa hadapan (termasuk peluang untuk menerbitkan atau permohonan paten)</w:t>
                        </w:r>
                      </w:p>
                    </w:tc>
                  </w:tr>
                  <w:tr w:rsidR="005E5F20">
                    <w:tc>
                      <w:tcPr>
                        <w:tcW w:w="413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E5F20">
                    <w:tc>
                      <w:tcPr>
                        <w:tcW w:w="4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5E5F20" w:rsidRDefault="005E5F2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left w:val="single" w:sz="12" w:space="0" w:color="000000"/>
                        </w:tcBorders>
                      </w:tcPr>
                      <w:p w:rsidR="005E5F20" w:rsidRDefault="00E66AFD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Tesis menggunakan sumber peribadi dan/atau mengandungi maklumat budaya</w:t>
                        </w:r>
                        <w:r w:rsidR="00D5792B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yang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sensitif yang telah diperolehi dengan syarat item tersebut dihadkan.</w:t>
                        </w:r>
                      </w:p>
                    </w:tc>
                  </w:tr>
                </w:tbl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Tesis </w:t>
                  </w:r>
                  <w:r w:rsidR="00D5792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akan berstatus embargo daripada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6A6A6"/>
                      <w:sz w:val="14"/>
                      <w:szCs w:val="14"/>
                    </w:rPr>
                    <w:t>Bulan, Tahun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hingga</w:t>
                  </w:r>
                  <w:r>
                    <w:rPr>
                      <w:rFonts w:ascii="Times New Roman" w:eastAsia="Times New Roman" w:hAnsi="Times New Roman" w:cs="Times New Roman"/>
                      <w:color w:val="A6A6A6"/>
                      <w:sz w:val="14"/>
                      <w:szCs w:val="14"/>
                    </w:rPr>
                    <w:t xml:space="preserve">  Bulan, Tahun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  <w:t>Perpustakaan hanya akan menerbitkan tajuk, abstrak dan pengenalan Tesis sebelum tamat tempoh embargo.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E5F20">
              <w:tc>
                <w:tcPr>
                  <w:tcW w:w="649" w:type="dxa"/>
                </w:tcPr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6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</w:rPr>
                    <w:t>AKSES PERCUMA</w:t>
                  </w:r>
                </w:p>
              </w:tc>
              <w:tc>
                <w:tcPr>
                  <w:tcW w:w="5747" w:type="dxa"/>
                </w:tcPr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Tesis </w:t>
                  </w:r>
                  <w:r w:rsidR="00D5792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tersedia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untuk diakses oleh orang ramai.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5E5F20" w:rsidRDefault="00E66AFD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4"/>
                      <w:szCs w:val="14"/>
                    </w:rPr>
                    <w:t>Perpustakaan hendaklah menerbitkan teks penuh Tesis termasuk, jadual, rajah, lampiran dan maklumat tambahan lain.</w:t>
                  </w:r>
                </w:p>
                <w:p w:rsidR="005E5F20" w:rsidRDefault="005E5F2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 w:rsidTr="004A6F0D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F20" w:rsidRDefault="005E5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5E5F20" w:rsidRDefault="00E66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Disahkan oleh,</w:t>
            </w: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E5F20" w:rsidTr="004A6F0D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F20" w:rsidRDefault="005E5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pBdr>
                <w:bottom w:val="single" w:sz="12" w:space="1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NAMA PELAJAR, TNR,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Alamat tetap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ALAMAT</w:t>
            </w:r>
          </w:p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TNR, 7</w:t>
            </w:r>
          </w:p>
          <w:p w:rsidR="005E5F20" w:rsidRDefault="004A6F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PADAMKAN </w:t>
            </w:r>
            <w:r w:rsidR="00E66AFD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RUANG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Tarikh: ____________________________</w:t>
            </w:r>
          </w:p>
          <w:p w:rsidR="005E5F20" w:rsidRDefault="005E5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5E5F20" w:rsidRDefault="005E5F20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NAMA PENYELIA, TNR,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5E5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E5F20" w:rsidRDefault="00E66AF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Tarikh: ____________________________</w:t>
            </w:r>
          </w:p>
        </w:tc>
      </w:tr>
    </w:tbl>
    <w:p w:rsidR="005E5F20" w:rsidRDefault="00E66AFD">
      <w:pPr>
        <w:ind w:left="426" w:hanging="14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  <w:t>** Jika Tesis ini dikelaskan sebagai</w:t>
      </w:r>
      <w:r w:rsidR="004A6F0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SULIT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atau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TERHAD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 surat rasmi daripada pihak berkuasa/organisasi yang berkenaan yang menyatakan sebab dan tempoh pengelasan tersebut hendaklah dilampirkan</w:t>
      </w:r>
      <w:r w:rsidR="004A6F0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dalam Tesis.</w:t>
      </w:r>
    </w:p>
    <w:sectPr w:rsidR="005E5F20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20"/>
    <w:rsid w:val="004A6F0D"/>
    <w:rsid w:val="005E5F20"/>
    <w:rsid w:val="00D5792B"/>
    <w:rsid w:val="00E66AFD"/>
    <w:rsid w:val="00F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0B1EB"/>
  <w15:docId w15:val="{CD15F5D8-409E-4865-91A0-63CE4C30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2529</Characters>
  <Application>Microsoft Office Word</Application>
  <DocSecurity>0</DocSecurity>
  <Lines>105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RSPS_PC03</dc:creator>
  <cp:lastModifiedBy>uthm2018</cp:lastModifiedBy>
  <cp:revision>2</cp:revision>
  <cp:lastPrinted>2023-12-14T05:38:00Z</cp:lastPrinted>
  <dcterms:created xsi:type="dcterms:W3CDTF">2023-12-18T06:43:00Z</dcterms:created>
  <dcterms:modified xsi:type="dcterms:W3CDTF">2023-12-18T06:43:00Z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b9d763df53b84351d013ec7409ccdb72554716dcc17cc878df2647c51b9f4741</vt:lpwstr>
  </property>
</Properties>
</file>